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  <w:jc w:val="center"/>
      </w:pPr>
      <w:r>
        <w:rPr>
          <w:rFonts w:ascii="Calibri" w:hAnsi="Calibri" w:eastAsia="Calibri"/>
          <w:b/>
          <w:sz w:val="22"/>
        </w:rPr>
        <w:t>ANEXO II – PLANO DE ADESÃO</w:t>
      </w:r>
    </w:p>
    <w:p>
      <w:pPr>
        <w:spacing w:after="160"/>
        <w:jc w:val="center"/>
      </w:pPr>
      <w:r>
        <w:rPr>
          <w:rFonts w:ascii="Calibri" w:hAnsi="Calibri" w:eastAsia="Calibri"/>
          <w:b/>
          <w:sz w:val="21"/>
        </w:rPr>
        <w:t>ACORDO DE ADESÃO Nº 001/2026</w:t>
      </w:r>
    </w:p>
    <w:p>
      <w:pPr>
        <w:spacing w:before="60" w:after="20"/>
        <w:jc w:val="left"/>
      </w:pPr>
      <w:r>
        <w:rPr>
          <w:rFonts w:ascii="Calibri" w:hAnsi="Calibri" w:eastAsia="Calibri"/>
          <w:b/>
          <w:sz w:val="20"/>
        </w:rPr>
        <w:t>I. OBJETO</w:t>
      </w:r>
    </w:p>
    <w:p>
      <w:pPr>
        <w:spacing w:before="0" w:after="120" w:line="240" w:lineRule="auto"/>
        <w:jc w:val="both"/>
      </w:pPr>
      <w:r>
        <w:rPr>
          <w:rFonts w:ascii="Calibri" w:hAnsi="Calibri" w:eastAsia="Calibri"/>
          <w:sz w:val="20"/>
        </w:rPr>
        <w:t>Este Plano de Adesão tem por objeto estabelecer as ações necessárias para a implementação do Acordo de Adesão entre a Universidade da Integração Internacional da Lusofonia Afro-Brasileira (Unilab) e as Instituições Aderentes da Rede de Instituições Públicas de Ensino Superior (RIPES).</w:t>
      </w:r>
    </w:p>
    <w:p>
      <w:pPr>
        <w:spacing w:before="60" w:after="20"/>
        <w:jc w:val="left"/>
      </w:pPr>
      <w:r>
        <w:rPr>
          <w:rFonts w:ascii="Calibri" w:hAnsi="Calibri" w:eastAsia="Calibri"/>
          <w:b/>
          <w:sz w:val="20"/>
        </w:rPr>
        <w:t>II. OBJETIVO GERAL</w:t>
      </w:r>
    </w:p>
    <w:p>
      <w:pPr>
        <w:spacing w:before="0" w:after="120" w:line="240" w:lineRule="auto"/>
        <w:jc w:val="both"/>
      </w:pPr>
      <w:r>
        <w:rPr>
          <w:rFonts w:ascii="Calibri" w:hAnsi="Calibri" w:eastAsia="Calibri"/>
          <w:sz w:val="20"/>
        </w:rPr>
        <w:t>Promover a cooperação acadêmica, científica e técnica entre a Unilab e as Instituições Aderentes, fortalecendo a mobilidade de discentes, docentes e técnicos administrativos e estimulando a integração acadêmica e a pesquisa no contexto da Comunidade dos Países de Língua Portuguesa (CPLP).</w:t>
      </w:r>
    </w:p>
    <w:p>
      <w:pPr>
        <w:spacing w:before="60" w:after="20"/>
        <w:jc w:val="left"/>
      </w:pPr>
      <w:r>
        <w:rPr>
          <w:rFonts w:ascii="Calibri" w:hAnsi="Calibri" w:eastAsia="Calibri"/>
          <w:b/>
          <w:sz w:val="20"/>
        </w:rPr>
        <w:t>III. OBJETIVOS ESPECÍFICOS</w:t>
      </w:r>
    </w:p>
    <w:p>
      <w:pPr>
        <w:spacing w:before="0" w:after="20" w:line="240" w:lineRule="auto"/>
        <w:ind w:left="283" w:hanging="283"/>
        <w:jc w:val="both"/>
      </w:pPr>
      <w:r>
        <w:rPr>
          <w:rFonts w:ascii="Calibri" w:hAnsi="Calibri" w:eastAsia="Calibri"/>
          <w:sz w:val="20"/>
        </w:rPr>
        <w:t>1. Estimular a mobilidade acadêmica e intercâmbio cultural de estudantes, docentes e técnicos administrativos;</w:t>
      </w:r>
    </w:p>
    <w:p>
      <w:pPr>
        <w:spacing w:before="0" w:after="20" w:line="240" w:lineRule="auto"/>
        <w:ind w:left="283" w:hanging="283"/>
        <w:jc w:val="both"/>
      </w:pPr>
      <w:r>
        <w:rPr>
          <w:rFonts w:ascii="Calibri" w:hAnsi="Calibri" w:eastAsia="Calibri"/>
          <w:sz w:val="20"/>
        </w:rPr>
        <w:t>2. Implementar programas conjuntos de ensino, pesquisa e extensão voltados às demandas regionais e internacionais;</w:t>
      </w:r>
    </w:p>
    <w:p>
      <w:pPr>
        <w:spacing w:before="0" w:after="20" w:line="240" w:lineRule="auto"/>
        <w:ind w:left="283" w:hanging="283"/>
        <w:jc w:val="both"/>
      </w:pPr>
      <w:r>
        <w:rPr>
          <w:rFonts w:ascii="Calibri" w:hAnsi="Calibri" w:eastAsia="Calibri"/>
          <w:sz w:val="20"/>
        </w:rPr>
        <w:t>3. Facilitar o reconhecimento de créditos e certificações acadêmicas entre as Instituições Aderentes;</w:t>
      </w:r>
    </w:p>
    <w:p>
      <w:pPr>
        <w:spacing w:before="0" w:after="20" w:line="240" w:lineRule="auto"/>
        <w:ind w:left="283" w:hanging="283"/>
        <w:jc w:val="both"/>
      </w:pPr>
      <w:r>
        <w:rPr>
          <w:rFonts w:ascii="Calibri" w:hAnsi="Calibri" w:eastAsia="Calibri"/>
          <w:sz w:val="20"/>
        </w:rPr>
        <w:t>4. Fortalecer a integração entre as Instituições da RIPES e sua visibilidade no contexto internacional;</w:t>
      </w:r>
    </w:p>
    <w:p>
      <w:pPr>
        <w:spacing w:before="0" w:after="20" w:line="240" w:lineRule="auto"/>
        <w:ind w:left="283" w:hanging="283"/>
        <w:jc w:val="both"/>
      </w:pPr>
      <w:r>
        <w:rPr>
          <w:rFonts w:ascii="Calibri" w:hAnsi="Calibri" w:eastAsia="Calibri"/>
          <w:sz w:val="20"/>
        </w:rPr>
        <w:t>5. Ampliar as ações de capacitação técnica e acadêmica nos países membros da CPLP.</w:t>
      </w:r>
    </w:p>
    <w:p>
      <w:pPr>
        <w:spacing w:before="60" w:after="20"/>
        <w:jc w:val="left"/>
      </w:pPr>
      <w:r>
        <w:rPr>
          <w:rFonts w:ascii="Calibri" w:hAnsi="Calibri" w:eastAsia="Calibri"/>
          <w:b/>
          <w:sz w:val="20"/>
        </w:rPr>
        <w:t>IV. JUSTIFICATIVA</w:t>
      </w:r>
    </w:p>
    <w:p>
      <w:pPr>
        <w:spacing w:before="0" w:after="120" w:line="240" w:lineRule="auto"/>
        <w:jc w:val="both"/>
      </w:pPr>
      <w:r>
        <w:rPr>
          <w:rFonts w:ascii="Calibri" w:hAnsi="Calibri" w:eastAsia="Calibri"/>
          <w:sz w:val="20"/>
        </w:rPr>
        <w:t>A mobilidade acadêmica é um instrumento fundamental para a formação de recursos humanos qualificados, a promoção da integração regional e o fortalecimento das relações multilaterais entre os países da CPLP. Por meio da cooperação acadêmica, é possível fomentar o intercâmbio de conhecimentos, boas práticas e soluções para desafios compartilhados, como o desenvolvimento social, a inclusão educacional e a promoção da igualdade de oportunidades.</w:t>
      </w:r>
    </w:p>
    <w:p>
      <w:pPr>
        <w:spacing w:before="0" w:after="120" w:line="240" w:lineRule="auto"/>
        <w:jc w:val="both"/>
      </w:pPr>
      <w:r>
        <w:rPr>
          <w:rFonts w:ascii="Calibri" w:hAnsi="Calibri" w:eastAsia="Calibri"/>
          <w:sz w:val="20"/>
        </w:rPr>
        <w:t>A integração acadêmica fortalece a internacionalização das instituições de ensino superior e promove a formação de uma comunidade acadêmica unida por laços históricos e culturais, criando oportunidades para estudantes, docentes e técnicos administrativos adquirirem experiências internacionais que enriqueçam seu desenvolvimento acadêmico e profissional. Esse processo também contribui para o fortalecimento das capacidades institucionais e para a geração de conhecimento aplicado ao enfrentamento dos desafios regionais.</w:t>
      </w:r>
    </w:p>
    <w:p>
      <w:pPr>
        <w:spacing w:before="0" w:after="120" w:line="240" w:lineRule="auto"/>
        <w:jc w:val="both"/>
      </w:pPr>
      <w:r>
        <w:rPr>
          <w:rFonts w:ascii="Calibri" w:hAnsi="Calibri" w:eastAsia="Calibri"/>
          <w:sz w:val="20"/>
        </w:rPr>
        <w:t>A presente iniciativa está alinhada com as Diretrizes de Internacionalização da Unilab, que tem como um de seus eixos estratégicos o fomento à mobilidade acadêmica e ao intercâmbio cultural no contexto da lusofonia. Ademais, está fundamentada no documento de criação da RIPES, que estabelece como metas principais a promoção da cooperação entre as instituições de ensino superior da CPLP e a mobilidade de estudantes, docentes e pesquisadores. Esses referenciais reforçam a relevância estratégica do presente plano para o desenvolvimento do ensino superior nos países membros.</w:t>
      </w:r>
    </w:p>
    <w:p>
      <w:pPr>
        <w:spacing w:before="60" w:after="20"/>
        <w:jc w:val="left"/>
      </w:pPr>
      <w:r>
        <w:rPr>
          <w:rFonts w:ascii="Calibri" w:hAnsi="Calibri" w:eastAsia="Calibri"/>
          <w:b/>
          <w:sz w:val="20"/>
        </w:rPr>
        <w:t>V. RESULTADOS ESPERADOS</w:t>
      </w:r>
    </w:p>
    <w:p>
      <w:pPr>
        <w:spacing w:before="0" w:after="20" w:line="240" w:lineRule="auto"/>
        <w:ind w:left="283" w:hanging="283"/>
        <w:jc w:val="both"/>
      </w:pPr>
      <w:r>
        <w:rPr>
          <w:rFonts w:ascii="Calibri" w:hAnsi="Calibri" w:eastAsia="Calibri"/>
          <w:sz w:val="20"/>
        </w:rPr>
        <w:t>1. Mobilidade acadêmica realizada entre a Unilab e as Instituições Aderentes, com discentes, docentes e técnicos participando de intercâmbios;</w:t>
      </w:r>
    </w:p>
    <w:p>
      <w:pPr>
        <w:spacing w:before="0" w:after="20" w:line="240" w:lineRule="auto"/>
        <w:ind w:left="283" w:hanging="283"/>
        <w:jc w:val="both"/>
      </w:pPr>
      <w:r>
        <w:rPr>
          <w:rFonts w:ascii="Calibri" w:hAnsi="Calibri" w:eastAsia="Calibri"/>
          <w:sz w:val="20"/>
        </w:rPr>
        <w:t>2. Programas e projetos conjuntos de ensino e pesquisa implantados;</w:t>
      </w:r>
    </w:p>
    <w:p>
      <w:pPr>
        <w:spacing w:before="0" w:after="20" w:line="240" w:lineRule="auto"/>
        <w:ind w:left="283" w:hanging="283"/>
        <w:jc w:val="both"/>
      </w:pPr>
      <w:r>
        <w:rPr>
          <w:rFonts w:ascii="Calibri" w:hAnsi="Calibri" w:eastAsia="Calibri"/>
          <w:sz w:val="20"/>
        </w:rPr>
        <w:t>3. Reconhecimento mútuo de créditos acadêmicos e certificações formalizado;</w:t>
      </w:r>
    </w:p>
    <w:p>
      <w:pPr>
        <w:spacing w:before="0" w:after="20" w:line="240" w:lineRule="auto"/>
        <w:ind w:left="283" w:hanging="283"/>
        <w:jc w:val="both"/>
      </w:pPr>
      <w:r>
        <w:rPr>
          <w:rFonts w:ascii="Calibri" w:hAnsi="Calibri" w:eastAsia="Calibri"/>
          <w:sz w:val="20"/>
        </w:rPr>
        <w:t>4. Maior integração acadêmica no âmbito da CPLP, com a participação ativa das Instituições Aderentes;</w:t>
      </w:r>
    </w:p>
    <w:p>
      <w:pPr>
        <w:spacing w:before="0" w:after="20" w:line="240" w:lineRule="auto"/>
        <w:ind w:left="283" w:hanging="283"/>
        <w:jc w:val="both"/>
      </w:pPr>
      <w:r>
        <w:rPr>
          <w:rFonts w:ascii="Calibri" w:hAnsi="Calibri" w:eastAsia="Calibri"/>
          <w:sz w:val="20"/>
        </w:rPr>
        <w:t>5. Criação e fortalecimento de redes acadêmicas voltadas para a pesquisa e extensão, com impacto direto nas demandas regionais e internacionais.</w:t>
      </w:r>
    </w:p>
    <w:p>
      <w:pPr>
        <w:spacing w:before="60" w:after="20"/>
        <w:jc w:val="left"/>
      </w:pPr>
      <w:r>
        <w:rPr>
          <w:rFonts w:ascii="Calibri" w:hAnsi="Calibri" w:eastAsia="Calibri"/>
          <w:b/>
          <w:sz w:val="20"/>
        </w:rPr>
        <w:t>VI. CRONOGRAMA DE EXECUÇÃO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rPr>
          <w:tblHeader w:val="true"/>
        </w:trPr>
        <w:tc>
          <w:tcPr>
            <w:tcW w:type="dxa" w:w="238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rFonts w:ascii="Calibri" w:hAnsi="Calibri" w:eastAsia="Calibri"/>
                <w:b/>
                <w:sz w:val="20"/>
              </w:rPr>
              <w:t>Etapa</w:t>
            </w:r>
          </w:p>
        </w:tc>
        <w:tc>
          <w:tcPr>
            <w:tcW w:type="dxa" w:w="5556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rFonts w:ascii="Calibri" w:hAnsi="Calibri" w:eastAsia="Calibri"/>
                <w:b/>
                <w:sz w:val="20"/>
              </w:rPr>
              <w:t>Descrição</w:t>
            </w:r>
          </w:p>
        </w:tc>
        <w:tc>
          <w:tcPr>
            <w:tcW w:type="dxa" w:w="113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rFonts w:ascii="Calibri" w:hAnsi="Calibri" w:eastAsia="Calibri"/>
                <w:b/>
                <w:sz w:val="20"/>
              </w:rPr>
              <w:t>Meses</w:t>
            </w:r>
          </w:p>
        </w:tc>
      </w:tr>
      <w:tr>
        <w:tc>
          <w:tcPr>
            <w:tcW w:type="dxa" w:w="2381"/>
            <w:vAlign w:val="center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pPr>
              <w:jc w:val="left"/>
            </w:pPr>
            <w:r>
              <w:rPr>
                <w:rFonts w:ascii="Calibri" w:hAnsi="Calibri" w:eastAsia="Calibri"/>
                <w:sz w:val="20"/>
              </w:rPr>
              <w:t>1. Celebração</w:t>
            </w:r>
          </w:p>
        </w:tc>
        <w:tc>
          <w:tcPr>
            <w:tcW w:type="dxa" w:w="5556"/>
            <w:vAlign w:val="center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pPr>
              <w:jc w:val="left"/>
            </w:pPr>
            <w:r>
              <w:rPr>
                <w:rFonts w:ascii="Calibri" w:hAnsi="Calibri" w:eastAsia="Calibri"/>
                <w:sz w:val="20"/>
              </w:rPr>
              <w:t>Formalização da adesão ao acordo por meio da assinatura do termo pela instituição parceira</w:t>
            </w:r>
          </w:p>
        </w:tc>
        <w:tc>
          <w:tcPr>
            <w:tcW w:type="dxa" w:w="1134"/>
            <w:vAlign w:val="center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pPr>
              <w:jc w:val="center"/>
            </w:pPr>
            <w:r>
              <w:rPr>
                <w:rFonts w:ascii="Calibri" w:hAnsi="Calibri" w:eastAsia="Calibri"/>
                <w:sz w:val="20"/>
              </w:rPr>
              <w:t>1º ao 2º</w:t>
            </w:r>
          </w:p>
        </w:tc>
      </w:tr>
      <w:tr>
        <w:tc>
          <w:tcPr>
            <w:tcW w:type="dxa" w:w="2381"/>
            <w:vAlign w:val="center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pPr>
              <w:jc w:val="left"/>
            </w:pPr>
            <w:r>
              <w:rPr>
                <w:rFonts w:ascii="Calibri" w:hAnsi="Calibri" w:eastAsia="Calibri"/>
                <w:sz w:val="20"/>
              </w:rPr>
              <w:t>2. Planejamento</w:t>
            </w:r>
          </w:p>
        </w:tc>
        <w:tc>
          <w:tcPr>
            <w:tcW w:type="dxa" w:w="5556"/>
            <w:vAlign w:val="center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pPr>
              <w:jc w:val="left"/>
            </w:pPr>
            <w:r>
              <w:rPr>
                <w:rFonts w:ascii="Calibri" w:hAnsi="Calibri" w:eastAsia="Calibri"/>
                <w:sz w:val="20"/>
              </w:rPr>
              <w:t>Definição conjunta de ações prioritárias, cronogramas e responsabilidades</w:t>
            </w:r>
          </w:p>
        </w:tc>
        <w:tc>
          <w:tcPr>
            <w:tcW w:type="dxa" w:w="1134"/>
            <w:vAlign w:val="center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pPr>
              <w:jc w:val="center"/>
            </w:pPr>
            <w:r>
              <w:rPr>
                <w:rFonts w:ascii="Calibri" w:hAnsi="Calibri" w:eastAsia="Calibri"/>
                <w:sz w:val="20"/>
              </w:rPr>
              <w:t>2º ao 4º</w:t>
            </w:r>
          </w:p>
        </w:tc>
      </w:tr>
      <w:tr>
        <w:tc>
          <w:tcPr>
            <w:tcW w:type="dxa" w:w="2381"/>
            <w:vAlign w:val="center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pPr>
              <w:jc w:val="left"/>
            </w:pPr>
            <w:r>
              <w:rPr>
                <w:rFonts w:ascii="Calibri" w:hAnsi="Calibri" w:eastAsia="Calibri"/>
                <w:sz w:val="20"/>
              </w:rPr>
              <w:t>3. Implementação</w:t>
            </w:r>
          </w:p>
        </w:tc>
        <w:tc>
          <w:tcPr>
            <w:tcW w:type="dxa" w:w="5556"/>
            <w:vAlign w:val="center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pPr>
              <w:jc w:val="left"/>
            </w:pPr>
            <w:r>
              <w:rPr>
                <w:rFonts w:ascii="Calibri" w:hAnsi="Calibri" w:eastAsia="Calibri"/>
                <w:sz w:val="20"/>
              </w:rPr>
              <w:t>Início das atividades de mobilidade de estudantes, docentes e técnicos</w:t>
            </w:r>
          </w:p>
        </w:tc>
        <w:tc>
          <w:tcPr>
            <w:tcW w:type="dxa" w:w="1134"/>
            <w:vAlign w:val="center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pPr>
              <w:jc w:val="center"/>
            </w:pPr>
            <w:r>
              <w:rPr>
                <w:rFonts w:ascii="Calibri" w:hAnsi="Calibri" w:eastAsia="Calibri"/>
                <w:sz w:val="20"/>
              </w:rPr>
              <w:t>4º ao 58º</w:t>
            </w:r>
          </w:p>
        </w:tc>
      </w:tr>
      <w:tr>
        <w:tc>
          <w:tcPr>
            <w:tcW w:type="dxa" w:w="2381"/>
            <w:vAlign w:val="center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pPr>
              <w:jc w:val="left"/>
            </w:pPr>
            <w:r>
              <w:rPr>
                <w:rFonts w:ascii="Calibri" w:hAnsi="Calibri" w:eastAsia="Calibri"/>
                <w:sz w:val="20"/>
              </w:rPr>
              <w:t>6. Avaliação</w:t>
            </w:r>
          </w:p>
        </w:tc>
        <w:tc>
          <w:tcPr>
            <w:tcW w:type="dxa" w:w="5556"/>
            <w:vAlign w:val="center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pPr>
              <w:jc w:val="left"/>
            </w:pPr>
            <w:r>
              <w:rPr>
                <w:rFonts w:ascii="Calibri" w:hAnsi="Calibri" w:eastAsia="Calibri"/>
                <w:sz w:val="20"/>
              </w:rPr>
              <w:t>Análise dos resultados e impacto das ações realizadas</w:t>
            </w:r>
          </w:p>
        </w:tc>
        <w:tc>
          <w:tcPr>
            <w:tcW w:type="dxa" w:w="1134"/>
            <w:vAlign w:val="center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pPr>
              <w:jc w:val="center"/>
            </w:pPr>
            <w:r>
              <w:rPr>
                <w:rFonts w:ascii="Calibri" w:hAnsi="Calibri" w:eastAsia="Calibri"/>
                <w:sz w:val="20"/>
              </w:rPr>
              <w:t>58º ao 59º</w:t>
            </w:r>
          </w:p>
        </w:tc>
      </w:tr>
      <w:tr>
        <w:tc>
          <w:tcPr>
            <w:tcW w:type="dxa" w:w="2381"/>
            <w:vAlign w:val="center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pPr>
              <w:jc w:val="left"/>
            </w:pPr>
            <w:r>
              <w:rPr>
                <w:rFonts w:ascii="Calibri" w:hAnsi="Calibri" w:eastAsia="Calibri"/>
                <w:sz w:val="20"/>
              </w:rPr>
              <w:t>7. Consolidação</w:t>
            </w:r>
          </w:p>
        </w:tc>
        <w:tc>
          <w:tcPr>
            <w:tcW w:type="dxa" w:w="5556"/>
            <w:vAlign w:val="center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pPr>
              <w:jc w:val="left"/>
            </w:pPr>
            <w:r>
              <w:rPr>
                <w:rFonts w:ascii="Calibri" w:hAnsi="Calibri" w:eastAsia="Calibri"/>
                <w:sz w:val="20"/>
              </w:rPr>
              <w:t>Consolidação dos resultados e elaboração de plano de continuidade</w:t>
            </w:r>
          </w:p>
        </w:tc>
        <w:tc>
          <w:tcPr>
            <w:tcW w:type="dxa" w:w="1134"/>
            <w:vAlign w:val="center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pPr>
              <w:jc w:val="center"/>
            </w:pPr>
            <w:r>
              <w:rPr>
                <w:rFonts w:ascii="Calibri" w:hAnsi="Calibri" w:eastAsia="Calibri"/>
                <w:sz w:val="20"/>
              </w:rPr>
              <w:t>59º ao 60º</w:t>
            </w:r>
          </w:p>
        </w:tc>
      </w:tr>
    </w:tbl>
    <w:p/>
    <w:p>
      <w:pPr>
        <w:spacing w:before="60" w:after="20"/>
        <w:jc w:val="left"/>
      </w:pPr>
      <w:r>
        <w:rPr>
          <w:rFonts w:ascii="Calibri" w:hAnsi="Calibri" w:eastAsia="Calibri"/>
          <w:b/>
          <w:sz w:val="20"/>
        </w:rPr>
        <w:t>VII. MOBILIDADE ACADÊMICA</w:t>
      </w:r>
    </w:p>
    <w:p>
      <w:pPr>
        <w:spacing w:before="0" w:after="120" w:line="240" w:lineRule="auto"/>
        <w:jc w:val="both"/>
      </w:pPr>
      <w:r>
        <w:rPr>
          <w:rFonts w:ascii="Calibri" w:hAnsi="Calibri" w:eastAsia="Calibri"/>
          <w:sz w:val="20"/>
        </w:rPr>
        <w:t>A mobilidade acadêmica é o foco central deste plano de adesão e envolve as seguintes ações prioritárias:</w:t>
      </w:r>
    </w:p>
    <w:p>
      <w:pPr>
        <w:spacing w:before="60" w:after="20"/>
        <w:jc w:val="left"/>
      </w:pPr>
      <w:r>
        <w:rPr>
          <w:rFonts w:ascii="Calibri" w:hAnsi="Calibri" w:eastAsia="Calibri"/>
          <w:b/>
          <w:sz w:val="20"/>
        </w:rPr>
        <w:t>1. Seleção de Participantes:</w:t>
      </w:r>
    </w:p>
    <w:p>
      <w:pPr>
        <w:spacing w:before="0" w:after="20" w:line="240" w:lineRule="auto"/>
        <w:ind w:left="340" w:hanging="170"/>
        <w:jc w:val="both"/>
      </w:pPr>
      <w:r>
        <w:rPr>
          <w:rFonts w:ascii="Calibri" w:hAnsi="Calibri" w:eastAsia="Calibri"/>
          <w:sz w:val="20"/>
        </w:rPr>
        <w:t>• Lançamento de editais para seleção de estudantes, docentes e técnicos administrativos;</w:t>
      </w:r>
    </w:p>
    <w:p>
      <w:pPr>
        <w:spacing w:before="0" w:after="20" w:line="240" w:lineRule="auto"/>
        <w:ind w:left="340" w:hanging="170"/>
        <w:jc w:val="both"/>
      </w:pPr>
      <w:r>
        <w:rPr>
          <w:rFonts w:ascii="Calibri" w:hAnsi="Calibri" w:eastAsia="Calibri"/>
          <w:sz w:val="20"/>
        </w:rPr>
        <w:t>• Critérios de seleção baseados no mérito acadêmico, compatibilidade de programas e inclusão social.</w:t>
      </w:r>
    </w:p>
    <w:p>
      <w:pPr>
        <w:spacing w:before="60" w:after="20"/>
        <w:jc w:val="left"/>
      </w:pPr>
      <w:r>
        <w:rPr>
          <w:rFonts w:ascii="Calibri" w:hAnsi="Calibri" w:eastAsia="Calibri"/>
          <w:b/>
          <w:sz w:val="20"/>
        </w:rPr>
        <w:t>1. Logística e Suporte:</w:t>
      </w:r>
    </w:p>
    <w:p>
      <w:pPr>
        <w:spacing w:before="0" w:after="20" w:line="240" w:lineRule="auto"/>
        <w:ind w:left="340" w:hanging="170"/>
        <w:jc w:val="both"/>
      </w:pPr>
      <w:r>
        <w:rPr>
          <w:rFonts w:ascii="Calibri" w:hAnsi="Calibri" w:eastAsia="Calibri"/>
          <w:sz w:val="20"/>
        </w:rPr>
        <w:t>• Facilitação dos trâmites para vistos, hospedagem e transporte dos participantes;</w:t>
      </w:r>
    </w:p>
    <w:p>
      <w:pPr>
        <w:spacing w:before="0" w:after="20" w:line="240" w:lineRule="auto"/>
        <w:ind w:left="340" w:hanging="170"/>
        <w:jc w:val="both"/>
      </w:pPr>
      <w:r>
        <w:rPr>
          <w:rFonts w:ascii="Calibri" w:hAnsi="Calibri" w:eastAsia="Calibri"/>
          <w:sz w:val="20"/>
        </w:rPr>
        <w:t>• Orientação prévia e suporte durante o período de mobilidade.</w:t>
      </w:r>
    </w:p>
    <w:p>
      <w:pPr>
        <w:spacing w:before="60" w:after="20"/>
        <w:jc w:val="left"/>
      </w:pPr>
      <w:r>
        <w:rPr>
          <w:rFonts w:ascii="Calibri" w:hAnsi="Calibri" w:eastAsia="Calibri"/>
          <w:b/>
          <w:sz w:val="20"/>
        </w:rPr>
        <w:t>1. Integração Acadêmica:</w:t>
      </w:r>
    </w:p>
    <w:p>
      <w:pPr>
        <w:spacing w:before="0" w:after="20" w:line="240" w:lineRule="auto"/>
        <w:ind w:left="340" w:hanging="170"/>
        <w:jc w:val="both"/>
      </w:pPr>
      <w:r>
        <w:rPr>
          <w:rFonts w:ascii="Calibri" w:hAnsi="Calibri" w:eastAsia="Calibri"/>
          <w:sz w:val="20"/>
        </w:rPr>
        <w:t>• Criação de programas de acolhimento para os participantes;</w:t>
      </w:r>
    </w:p>
    <w:p>
      <w:pPr>
        <w:spacing w:before="0" w:after="20" w:line="240" w:lineRule="auto"/>
        <w:ind w:left="340" w:hanging="170"/>
        <w:jc w:val="both"/>
      </w:pPr>
      <w:r>
        <w:rPr>
          <w:rFonts w:ascii="Calibri" w:hAnsi="Calibri" w:eastAsia="Calibri"/>
          <w:sz w:val="20"/>
        </w:rPr>
        <w:t>• Monitoramento do desempenho acadêmico e integração nas atividades das instituições de destino.</w:t>
      </w:r>
    </w:p>
    <w:p>
      <w:pPr>
        <w:spacing w:before="60" w:after="20"/>
        <w:jc w:val="left"/>
      </w:pPr>
      <w:r>
        <w:rPr>
          <w:rFonts w:ascii="Calibri" w:hAnsi="Calibri" w:eastAsia="Calibri"/>
          <w:b/>
          <w:sz w:val="20"/>
        </w:rPr>
        <w:t>1. Reconhecimento Acadêmico:</w:t>
      </w:r>
    </w:p>
    <w:p>
      <w:pPr>
        <w:spacing w:before="0" w:after="20" w:line="240" w:lineRule="auto"/>
        <w:ind w:left="340" w:hanging="170"/>
        <w:jc w:val="both"/>
      </w:pPr>
      <w:r>
        <w:rPr>
          <w:rFonts w:ascii="Calibri" w:hAnsi="Calibri" w:eastAsia="Calibri"/>
          <w:sz w:val="20"/>
        </w:rPr>
        <w:t>• Estabelecimento de acordos de equivalência para aproveitamento de créditos;</w:t>
      </w:r>
    </w:p>
    <w:p>
      <w:pPr>
        <w:spacing w:before="0" w:after="20" w:line="240" w:lineRule="auto"/>
        <w:ind w:left="340" w:hanging="170"/>
        <w:jc w:val="both"/>
      </w:pPr>
      <w:r>
        <w:rPr>
          <w:rFonts w:ascii="Calibri" w:hAnsi="Calibri" w:eastAsia="Calibri"/>
          <w:sz w:val="20"/>
        </w:rPr>
        <w:t>• Certificação dos participantes ao final da mobilidade.</w:t>
      </w:r>
    </w:p>
    <w:p>
      <w:pPr>
        <w:spacing w:before="60" w:after="20"/>
        <w:jc w:val="left"/>
      </w:pPr>
      <w:r>
        <w:rPr>
          <w:rFonts w:ascii="Calibri" w:hAnsi="Calibri" w:eastAsia="Calibri"/>
          <w:b/>
          <w:sz w:val="20"/>
        </w:rPr>
        <w:t>1. Avaliação e Melhoria Contínua:</w:t>
      </w:r>
    </w:p>
    <w:p>
      <w:pPr>
        <w:spacing w:before="0" w:after="20" w:line="240" w:lineRule="auto"/>
        <w:ind w:left="340" w:hanging="170"/>
        <w:jc w:val="both"/>
      </w:pPr>
      <w:r>
        <w:rPr>
          <w:rFonts w:ascii="Calibri" w:hAnsi="Calibri" w:eastAsia="Calibri"/>
          <w:sz w:val="20"/>
        </w:rPr>
        <w:t>• Coleta de feedback dos participantes e instituições envolvidas;</w:t>
      </w:r>
    </w:p>
    <w:p>
      <w:pPr>
        <w:spacing w:before="0" w:after="20" w:line="240" w:lineRule="auto"/>
        <w:ind w:left="340" w:hanging="170"/>
        <w:jc w:val="both"/>
      </w:pPr>
      <w:r>
        <w:rPr>
          <w:rFonts w:ascii="Calibri" w:hAnsi="Calibri" w:eastAsia="Calibri"/>
          <w:sz w:val="20"/>
        </w:rPr>
        <w:t>• Implementação de ajustes para aperfeiçoar o programa de mobilidade.</w:t>
      </w:r>
    </w:p>
    <w:p>
      <w:pPr>
        <w:spacing w:before="60" w:after="20"/>
        <w:jc w:val="left"/>
      </w:pPr>
      <w:r>
        <w:rPr>
          <w:rFonts w:ascii="Calibri" w:hAnsi="Calibri" w:eastAsia="Calibri"/>
          <w:b/>
          <w:sz w:val="20"/>
        </w:rPr>
        <w:t>VIII. DISPOSIÇÕES FINAIS</w:t>
      </w:r>
    </w:p>
    <w:p>
      <w:pPr>
        <w:spacing w:before="0" w:after="120" w:line="240" w:lineRule="auto"/>
        <w:jc w:val="both"/>
      </w:pPr>
      <w:r>
        <w:rPr>
          <w:rFonts w:ascii="Calibri" w:hAnsi="Calibri" w:eastAsia="Calibri"/>
          <w:sz w:val="20"/>
        </w:rPr>
        <w:t>Este Plano de Adesão será revisado e atualizado periodicamente para garantir a adequação às necessidades das partes envolvidas e às condições do contexto internacional. A Unilab e as Instituições Aderentes comprometem-se a envidar esforços para o cumprimento integral das metas aqui estabelecidas.</w:t>
      </w:r>
    </w:p>
    <w:p>
      <w:pPr>
        <w:spacing w:before="120" w:after="20"/>
        <w:jc w:val="left"/>
      </w:pPr>
      <w:r>
        <w:rPr>
          <w:rFonts w:ascii="Calibri" w:hAnsi="Calibri" w:eastAsia="Calibri"/>
          <w:sz w:val="20"/>
        </w:rPr>
        <w:t>Assinatura do Coordenador Institucional: _______________________________________________</w:t>
      </w:r>
    </w:p>
    <w:p>
      <w:pPr>
        <w:spacing w:after="100"/>
        <w:jc w:val="left"/>
      </w:pPr>
      <w:r>
        <w:rPr>
          <w:rFonts w:ascii="Calibri" w:hAnsi="Calibri" w:eastAsia="Calibri"/>
          <w:sz w:val="20"/>
        </w:rPr>
        <w:t>(Local e data)</w:t>
      </w:r>
    </w:p>
    <w:p>
      <w:pPr>
        <w:spacing w:before="120" w:after="20"/>
        <w:jc w:val="left"/>
      </w:pPr>
      <w:r>
        <w:rPr>
          <w:rFonts w:ascii="Calibri" w:hAnsi="Calibri" w:eastAsia="Calibri"/>
          <w:sz w:val="20"/>
        </w:rPr>
        <w:t>Assinatura do Representante Legal: _______________________________________________</w:t>
      </w:r>
    </w:p>
    <w:p>
      <w:pPr>
        <w:spacing w:after="100"/>
        <w:jc w:val="left"/>
      </w:pPr>
      <w:r>
        <w:rPr>
          <w:rFonts w:ascii="Calibri" w:hAnsi="Calibri" w:eastAsia="Calibri"/>
          <w:sz w:val="20"/>
        </w:rPr>
        <w:t>(Local e data)</w:t>
      </w:r>
    </w:p>
    <w:sectPr w:rsidR="00FC693F" w:rsidRPr="0006063C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